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985"/>
        <w:gridCol w:w="1984"/>
      </w:tblGrid>
      <w:tr w:rsidR="001B6643" w:rsidRPr="002B630A" w:rsidTr="003926E6">
        <w:tc>
          <w:tcPr>
            <w:tcW w:w="9209" w:type="dxa"/>
            <w:gridSpan w:val="4"/>
          </w:tcPr>
          <w:p w:rsidR="001B6643" w:rsidRDefault="001E172B" w:rsidP="001B6643">
            <w:pPr>
              <w:rPr>
                <w:b/>
                <w:sz w:val="20"/>
                <w:szCs w:val="20"/>
              </w:rPr>
            </w:pPr>
            <w:r>
              <w:br w:type="page"/>
            </w:r>
            <w:r w:rsidR="001B6643" w:rsidRPr="002B630A">
              <w:rPr>
                <w:b/>
                <w:sz w:val="20"/>
                <w:szCs w:val="20"/>
              </w:rPr>
              <w:t xml:space="preserve">Continuing </w:t>
            </w:r>
            <w:r w:rsidR="001B6643">
              <w:rPr>
                <w:b/>
                <w:sz w:val="20"/>
                <w:szCs w:val="20"/>
              </w:rPr>
              <w:t>Service funded from income / capital fees</w:t>
            </w:r>
            <w:r w:rsidR="001B6643" w:rsidRPr="002B630A">
              <w:rPr>
                <w:b/>
                <w:sz w:val="20"/>
                <w:szCs w:val="20"/>
              </w:rPr>
              <w:t xml:space="preserve">  (Proposed Base Budget Reduction Targets)</w:t>
            </w:r>
            <w:r w:rsidR="00B819B1">
              <w:rPr>
                <w:b/>
                <w:sz w:val="20"/>
                <w:szCs w:val="20"/>
              </w:rPr>
              <w:t xml:space="preserve"> – Template 5</w:t>
            </w:r>
          </w:p>
          <w:p w:rsidR="00D64925" w:rsidRPr="002B630A" w:rsidRDefault="0070212C" w:rsidP="001B6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075</w:t>
            </w:r>
          </w:p>
        </w:tc>
      </w:tr>
      <w:tr w:rsidR="001B6643" w:rsidRPr="002B630A" w:rsidTr="009E0E1B">
        <w:tc>
          <w:tcPr>
            <w:tcW w:w="3397" w:type="dxa"/>
            <w:tcBorders>
              <w:bottom w:val="single" w:sz="4" w:space="0" w:color="auto"/>
            </w:tcBorders>
          </w:tcPr>
          <w:p w:rsidR="00D64925" w:rsidRDefault="001B6643" w:rsidP="009E0E1B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>Service name</w:t>
            </w:r>
          </w:p>
          <w:p w:rsidR="00BC07FA" w:rsidRDefault="007B7BD6" w:rsidP="009E0E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ECONOMIC DEVELOPMENT</w:t>
            </w:r>
            <w:r w:rsidR="00BC07FA">
              <w:rPr>
                <w:rFonts w:ascii="Calibri" w:hAnsi="Calibri"/>
                <w:color w:val="000000"/>
              </w:rPr>
              <w:t xml:space="preserve"> </w:t>
            </w:r>
          </w:p>
          <w:p w:rsidR="009E0E1B" w:rsidRPr="007B7BD6" w:rsidRDefault="00BC07FA" w:rsidP="009E0E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(BBR 105)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9E0E1B" w:rsidRDefault="009E0E1B" w:rsidP="005264AE">
            <w:pPr>
              <w:rPr>
                <w:sz w:val="20"/>
                <w:szCs w:val="20"/>
              </w:rPr>
            </w:pPr>
            <w:r w:rsidRPr="005264AE">
              <w:rPr>
                <w:sz w:val="20"/>
                <w:szCs w:val="20"/>
              </w:rPr>
              <w:t>Service description</w:t>
            </w:r>
            <w:r w:rsidR="005264AE">
              <w:rPr>
                <w:sz w:val="20"/>
                <w:szCs w:val="20"/>
              </w:rPr>
              <w:t xml:space="preserve"> – please see overleaf</w:t>
            </w:r>
          </w:p>
          <w:p w:rsidR="00D833E6" w:rsidRPr="005264AE" w:rsidRDefault="00D833E6" w:rsidP="005264AE">
            <w:pPr>
              <w:rPr>
                <w:sz w:val="20"/>
                <w:szCs w:val="20"/>
              </w:rPr>
            </w:pPr>
          </w:p>
        </w:tc>
      </w:tr>
      <w:tr w:rsidR="001B6643" w:rsidRPr="002B630A" w:rsidTr="009E0E1B">
        <w:tc>
          <w:tcPr>
            <w:tcW w:w="3397" w:type="dxa"/>
            <w:tcBorders>
              <w:bottom w:val="nil"/>
            </w:tcBorders>
          </w:tcPr>
          <w:p w:rsidR="001B6643" w:rsidRPr="002B630A" w:rsidRDefault="001B6643" w:rsidP="003926E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B6643" w:rsidRPr="00084304" w:rsidRDefault="001B6643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985" w:type="dxa"/>
            <w:tcBorders>
              <w:bottom w:val="nil"/>
            </w:tcBorders>
          </w:tcPr>
          <w:p w:rsidR="001B6643" w:rsidRPr="00084304" w:rsidRDefault="001B6643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1984" w:type="dxa"/>
            <w:tcBorders>
              <w:bottom w:val="nil"/>
            </w:tcBorders>
          </w:tcPr>
          <w:p w:rsidR="001B6643" w:rsidRPr="00084304" w:rsidRDefault="001B6643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D64925" w:rsidRPr="002B630A" w:rsidTr="009E0E1B"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D64925" w:rsidRPr="002B630A" w:rsidRDefault="00D64925" w:rsidP="003926E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64925" w:rsidRPr="00084304" w:rsidRDefault="00D64925" w:rsidP="00084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D64925" w:rsidRPr="00084304" w:rsidRDefault="00D64925" w:rsidP="00084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D64925" w:rsidRPr="00084304" w:rsidRDefault="00D64925" w:rsidP="00084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</w:tr>
      <w:tr w:rsidR="008D74C5" w:rsidRPr="002B630A" w:rsidTr="009E0E1B"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8D74C5" w:rsidRPr="004D588F" w:rsidRDefault="008D74C5" w:rsidP="008D7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1.447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1.470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1.513</w:t>
            </w:r>
          </w:p>
        </w:tc>
      </w:tr>
      <w:tr w:rsidR="008D74C5" w:rsidRPr="002B630A" w:rsidTr="009E0E1B"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8D74C5" w:rsidRDefault="008D74C5" w:rsidP="008D7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8D74C5" w:rsidRPr="002B630A" w:rsidTr="009E0E1B">
        <w:tc>
          <w:tcPr>
            <w:tcW w:w="3397" w:type="dxa"/>
            <w:shd w:val="clear" w:color="auto" w:fill="auto"/>
          </w:tcPr>
          <w:p w:rsidR="008D74C5" w:rsidRDefault="008D74C5" w:rsidP="008D7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8D74C5" w:rsidRDefault="008D74C5" w:rsidP="008D7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Pr="004D588F">
              <w:rPr>
                <w:sz w:val="20"/>
                <w:szCs w:val="20"/>
              </w:rPr>
              <w:t xml:space="preserve">pproved </w:t>
            </w:r>
            <w:r w:rsidRPr="00B25405">
              <w:rPr>
                <w:b/>
                <w:sz w:val="20"/>
                <w:szCs w:val="20"/>
              </w:rPr>
              <w:t>2015</w:t>
            </w:r>
            <w:r>
              <w:rPr>
                <w:b/>
                <w:sz w:val="20"/>
                <w:szCs w:val="20"/>
              </w:rPr>
              <w:t xml:space="preserve"> net</w:t>
            </w:r>
            <w:r w:rsidRPr="00B25405">
              <w:rPr>
                <w:b/>
                <w:sz w:val="20"/>
                <w:szCs w:val="20"/>
              </w:rPr>
              <w:t xml:space="preserve"> budget</w:t>
            </w:r>
            <w:r w:rsidRPr="004D588F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1.447</w:t>
            </w:r>
          </w:p>
        </w:tc>
        <w:tc>
          <w:tcPr>
            <w:tcW w:w="1985" w:type="dxa"/>
            <w:shd w:val="clear" w:color="auto" w:fill="auto"/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1.470</w:t>
            </w:r>
          </w:p>
        </w:tc>
        <w:tc>
          <w:tcPr>
            <w:tcW w:w="1984" w:type="dxa"/>
            <w:shd w:val="clear" w:color="auto" w:fill="auto"/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1.513</w:t>
            </w:r>
          </w:p>
        </w:tc>
      </w:tr>
      <w:tr w:rsidR="008D74C5" w:rsidRPr="002B630A" w:rsidTr="009E0E1B">
        <w:tc>
          <w:tcPr>
            <w:tcW w:w="3397" w:type="dxa"/>
            <w:shd w:val="clear" w:color="auto" w:fill="D9D9D9" w:themeFill="background1" w:themeFillShade="D9"/>
          </w:tcPr>
          <w:p w:rsidR="008D74C5" w:rsidRDefault="008D74C5" w:rsidP="008D74C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</w:p>
        </w:tc>
      </w:tr>
      <w:tr w:rsidR="00873471" w:rsidRPr="002B630A" w:rsidTr="00FD34E3">
        <w:tc>
          <w:tcPr>
            <w:tcW w:w="3397" w:type="dxa"/>
            <w:shd w:val="clear" w:color="auto" w:fill="auto"/>
          </w:tcPr>
          <w:p w:rsidR="00873471" w:rsidRDefault="00873471" w:rsidP="0087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73471" w:rsidRPr="00AC02EA" w:rsidRDefault="00873471" w:rsidP="0087347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-0.035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73471" w:rsidRPr="00AC02EA" w:rsidRDefault="00873471" w:rsidP="008734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73471" w:rsidRPr="00AC02EA" w:rsidRDefault="00873471" w:rsidP="00873471">
            <w:pPr>
              <w:jc w:val="right"/>
              <w:rPr>
                <w:sz w:val="20"/>
                <w:szCs w:val="20"/>
              </w:rPr>
            </w:pPr>
          </w:p>
        </w:tc>
      </w:tr>
      <w:tr w:rsidR="00873471" w:rsidRPr="002B630A" w:rsidTr="00A42786">
        <w:tc>
          <w:tcPr>
            <w:tcW w:w="3397" w:type="dxa"/>
            <w:tcBorders>
              <w:right w:val="single" w:sz="4" w:space="0" w:color="auto"/>
            </w:tcBorders>
          </w:tcPr>
          <w:p w:rsidR="00873471" w:rsidRPr="00EA1D7C" w:rsidRDefault="00873471" w:rsidP="00873471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1" w:rsidRPr="00AC02EA" w:rsidRDefault="00873471" w:rsidP="008734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1" w:rsidRPr="00AC02EA" w:rsidRDefault="00873471" w:rsidP="0087347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1" w:rsidRPr="00AC02EA" w:rsidRDefault="00873471" w:rsidP="0087347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873471" w:rsidRPr="002B630A" w:rsidTr="009E0E1B">
        <w:tc>
          <w:tcPr>
            <w:tcW w:w="3397" w:type="dxa"/>
            <w:tcBorders>
              <w:right w:val="single" w:sz="4" w:space="0" w:color="auto"/>
            </w:tcBorders>
          </w:tcPr>
          <w:p w:rsidR="00873471" w:rsidRPr="00EA1D7C" w:rsidRDefault="00873471" w:rsidP="0087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1" w:rsidRPr="00AC02EA" w:rsidRDefault="00873471" w:rsidP="008734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1" w:rsidRPr="00AC02EA" w:rsidRDefault="00873471" w:rsidP="0087347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1" w:rsidRPr="00AC02EA" w:rsidRDefault="00873471" w:rsidP="0087347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-0.002</w:t>
            </w:r>
          </w:p>
        </w:tc>
      </w:tr>
      <w:tr w:rsidR="00873471" w:rsidRPr="002B630A" w:rsidTr="009E0E1B">
        <w:tc>
          <w:tcPr>
            <w:tcW w:w="3397" w:type="dxa"/>
            <w:tcBorders>
              <w:right w:val="single" w:sz="4" w:space="0" w:color="auto"/>
            </w:tcBorders>
          </w:tcPr>
          <w:p w:rsidR="00873471" w:rsidRPr="004D588F" w:rsidRDefault="00873471" w:rsidP="0087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1" w:rsidRPr="00AC02EA" w:rsidRDefault="00873471" w:rsidP="0087347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1" w:rsidRPr="00AC02EA" w:rsidRDefault="00873471" w:rsidP="0087347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1" w:rsidRPr="00AC02EA" w:rsidRDefault="00873471" w:rsidP="0087347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873471" w:rsidRPr="002B630A" w:rsidTr="00A42786">
        <w:tc>
          <w:tcPr>
            <w:tcW w:w="3397" w:type="dxa"/>
            <w:tcBorders>
              <w:bottom w:val="single" w:sz="4" w:space="0" w:color="auto"/>
            </w:tcBorders>
          </w:tcPr>
          <w:p w:rsidR="00873471" w:rsidRDefault="00873471" w:rsidP="0087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3471" w:rsidRPr="00AC02EA" w:rsidRDefault="00873471" w:rsidP="0087347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3471" w:rsidRPr="00AC02EA" w:rsidRDefault="00873471" w:rsidP="0087347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3471" w:rsidRPr="00AC02EA" w:rsidRDefault="00873471" w:rsidP="0087347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873471" w:rsidRPr="002B630A" w:rsidTr="0064639D">
        <w:tc>
          <w:tcPr>
            <w:tcW w:w="33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3471" w:rsidRPr="00C76C67" w:rsidRDefault="00873471" w:rsidP="008734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3471" w:rsidRPr="00AC02EA" w:rsidRDefault="00873471" w:rsidP="00873471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1.412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3471" w:rsidRPr="00AC02EA" w:rsidRDefault="00873471" w:rsidP="00873471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1.469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3471" w:rsidRPr="00AC02EA" w:rsidRDefault="00873471" w:rsidP="00873471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1.511</w:t>
            </w:r>
          </w:p>
        </w:tc>
      </w:tr>
      <w:tr w:rsidR="00873471" w:rsidRPr="002B630A" w:rsidTr="009E0E1B"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873471" w:rsidRDefault="00873471" w:rsidP="008D7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Revised deliverable</w:t>
            </w:r>
            <w:r w:rsidRPr="00F26FCF">
              <w:rPr>
                <w:sz w:val="20"/>
                <w:szCs w:val="20"/>
              </w:rPr>
              <w:t xml:space="preserve"> savings</w:t>
            </w:r>
            <w:r>
              <w:rPr>
                <w:sz w:val="20"/>
                <w:szCs w:val="20"/>
              </w:rPr>
              <w:t xml:space="preserve"> (already approved)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3471" w:rsidRPr="00FB7ABB" w:rsidRDefault="00873471" w:rsidP="008D74C5">
            <w:pPr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73471" w:rsidRPr="00FB7ABB" w:rsidRDefault="00873471" w:rsidP="008D74C5">
            <w:pPr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3471" w:rsidRPr="00FB7ABB" w:rsidRDefault="00873471" w:rsidP="008D74C5">
            <w:pPr>
              <w:jc w:val="right"/>
              <w:rPr>
                <w:noProof/>
                <w:sz w:val="20"/>
                <w:szCs w:val="20"/>
              </w:rPr>
            </w:pPr>
          </w:p>
        </w:tc>
      </w:tr>
      <w:tr w:rsidR="008D74C5" w:rsidRPr="002B630A" w:rsidTr="009E0E1B"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8D74C5" w:rsidRDefault="008D74C5" w:rsidP="008D7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-0.650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-0.650</w:t>
            </w:r>
          </w:p>
        </w:tc>
      </w:tr>
      <w:tr w:rsidR="008D74C5" w:rsidRPr="002B630A" w:rsidTr="009E0E1B">
        <w:tc>
          <w:tcPr>
            <w:tcW w:w="33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D74C5" w:rsidRPr="00C76C67" w:rsidRDefault="008D74C5" w:rsidP="008D74C5">
            <w:pPr>
              <w:rPr>
                <w:b/>
                <w:sz w:val="20"/>
                <w:szCs w:val="20"/>
              </w:rPr>
            </w:pPr>
            <w:r w:rsidRPr="00C76C67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1.412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0.819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0.861</w:t>
            </w:r>
          </w:p>
        </w:tc>
      </w:tr>
      <w:tr w:rsidR="008D74C5" w:rsidRPr="002B630A" w:rsidTr="009E0E1B">
        <w:tc>
          <w:tcPr>
            <w:tcW w:w="3397" w:type="dxa"/>
            <w:shd w:val="clear" w:color="auto" w:fill="auto"/>
          </w:tcPr>
          <w:p w:rsidR="008D74C5" w:rsidRDefault="008D74C5" w:rsidP="008D7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</w:t>
            </w:r>
            <w:r w:rsidRPr="004D588F">
              <w:rPr>
                <w:sz w:val="20"/>
                <w:szCs w:val="20"/>
              </w:rPr>
              <w:t>isk reserve provision</w:t>
            </w:r>
          </w:p>
          <w:p w:rsidR="008D74C5" w:rsidRPr="004D588F" w:rsidRDefault="008D74C5" w:rsidP="008D74C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0.650</w:t>
            </w:r>
          </w:p>
        </w:tc>
        <w:tc>
          <w:tcPr>
            <w:tcW w:w="1984" w:type="dxa"/>
            <w:shd w:val="clear" w:color="auto" w:fill="auto"/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1B6643" w:rsidRPr="002B630A" w:rsidTr="009E0E1B">
        <w:tc>
          <w:tcPr>
            <w:tcW w:w="3397" w:type="dxa"/>
          </w:tcPr>
          <w:p w:rsidR="001B6643" w:rsidRPr="002B630A" w:rsidRDefault="001B6643" w:rsidP="001B6643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 xml:space="preserve">Policy Decisions needed to </w:t>
            </w:r>
            <w:r>
              <w:rPr>
                <w:sz w:val="20"/>
                <w:szCs w:val="20"/>
              </w:rPr>
              <w:t xml:space="preserve">deliver </w:t>
            </w:r>
            <w:r w:rsidR="00FA744B">
              <w:rPr>
                <w:sz w:val="20"/>
                <w:szCs w:val="20"/>
              </w:rPr>
              <w:t xml:space="preserve">cost </w:t>
            </w:r>
            <w:r w:rsidR="00FB61AD">
              <w:rPr>
                <w:sz w:val="20"/>
                <w:szCs w:val="20"/>
              </w:rPr>
              <w:t>reductions / income</w:t>
            </w:r>
            <w:r w:rsidRPr="002B63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3"/>
          </w:tcPr>
          <w:p w:rsidR="00384C2D" w:rsidRDefault="001A3607" w:rsidP="00384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Approve:</w:t>
            </w:r>
          </w:p>
          <w:p w:rsidR="001A3607" w:rsidRDefault="001A3607" w:rsidP="00384C2D">
            <w:pPr>
              <w:rPr>
                <w:sz w:val="20"/>
                <w:szCs w:val="20"/>
              </w:rPr>
            </w:pPr>
          </w:p>
          <w:p w:rsidR="001A3607" w:rsidRDefault="001A3607" w:rsidP="00B120EB">
            <w:pPr>
              <w:rPr>
                <w:sz w:val="20"/>
                <w:szCs w:val="20"/>
              </w:rPr>
            </w:pPr>
            <w:r w:rsidRPr="00270394">
              <w:rPr>
                <w:sz w:val="20"/>
                <w:szCs w:val="20"/>
              </w:rPr>
              <w:t>A new financing</w:t>
            </w:r>
            <w:r w:rsidR="00270394">
              <w:rPr>
                <w:sz w:val="20"/>
                <w:szCs w:val="20"/>
              </w:rPr>
              <w:t xml:space="preserve"> </w:t>
            </w:r>
            <w:r w:rsidRPr="00270394">
              <w:rPr>
                <w:sz w:val="20"/>
                <w:szCs w:val="20"/>
              </w:rPr>
              <w:t xml:space="preserve"> model for the economic development service that will result in all staff and operational costs being resourced from:</w:t>
            </w:r>
            <w:r w:rsidR="006263B1" w:rsidRPr="00270394">
              <w:rPr>
                <w:sz w:val="20"/>
                <w:szCs w:val="20"/>
              </w:rPr>
              <w:br/>
            </w:r>
          </w:p>
          <w:p w:rsidR="00B120EB" w:rsidRPr="00B120EB" w:rsidRDefault="00B120EB" w:rsidP="0027039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LCC Revenue funding </w:t>
            </w:r>
          </w:p>
          <w:p w:rsidR="001A3607" w:rsidRDefault="001A3607" w:rsidP="00384C2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trading activities of LCDL</w:t>
            </w:r>
          </w:p>
          <w:p w:rsidR="001A3607" w:rsidRDefault="001A3607" w:rsidP="00384C2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 element of funded programmes</w:t>
            </w:r>
          </w:p>
          <w:p w:rsidR="001A3607" w:rsidRDefault="001A3607" w:rsidP="00384C2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Level Agreements with LCDL and the LEP</w:t>
            </w:r>
          </w:p>
          <w:p w:rsidR="001A3607" w:rsidRDefault="001A3607" w:rsidP="001A3607">
            <w:pPr>
              <w:ind w:left="241"/>
              <w:rPr>
                <w:sz w:val="20"/>
                <w:szCs w:val="20"/>
              </w:rPr>
            </w:pPr>
          </w:p>
          <w:p w:rsidR="006263B1" w:rsidRPr="00D833E6" w:rsidRDefault="006263B1" w:rsidP="00626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one year contribution of £650,000 from reserves.</w:t>
            </w:r>
          </w:p>
          <w:p w:rsidR="001B6643" w:rsidRPr="006263B1" w:rsidRDefault="001B6643" w:rsidP="006263B1">
            <w:pPr>
              <w:rPr>
                <w:sz w:val="20"/>
                <w:szCs w:val="20"/>
              </w:rPr>
            </w:pPr>
          </w:p>
        </w:tc>
      </w:tr>
      <w:tr w:rsidR="001B6643" w:rsidRPr="002B630A" w:rsidTr="00D833E6">
        <w:trPr>
          <w:trHeight w:val="591"/>
        </w:trPr>
        <w:tc>
          <w:tcPr>
            <w:tcW w:w="3397" w:type="dxa"/>
          </w:tcPr>
          <w:p w:rsidR="001B6643" w:rsidRPr="002B630A" w:rsidRDefault="001B6643" w:rsidP="003926E6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 xml:space="preserve">Impact upon service </w:t>
            </w:r>
          </w:p>
        </w:tc>
        <w:tc>
          <w:tcPr>
            <w:tcW w:w="5812" w:type="dxa"/>
            <w:gridSpan w:val="3"/>
          </w:tcPr>
          <w:p w:rsidR="00A7091D" w:rsidRPr="00770268" w:rsidRDefault="006263B1" w:rsidP="00770268">
            <w:pPr>
              <w:rPr>
                <w:sz w:val="20"/>
                <w:szCs w:val="20"/>
              </w:rPr>
            </w:pPr>
            <w:r w:rsidRPr="00770268">
              <w:rPr>
                <w:sz w:val="20"/>
                <w:szCs w:val="20"/>
              </w:rPr>
              <w:t>There will be no impact upon current service levels</w:t>
            </w:r>
          </w:p>
        </w:tc>
      </w:tr>
      <w:tr w:rsidR="001B6643" w:rsidRPr="002B630A" w:rsidTr="009E0E1B">
        <w:tc>
          <w:tcPr>
            <w:tcW w:w="3397" w:type="dxa"/>
          </w:tcPr>
          <w:p w:rsidR="001B6643" w:rsidRPr="002B630A" w:rsidRDefault="001B6643" w:rsidP="00FB61AD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 xml:space="preserve">Actions needed to </w:t>
            </w:r>
            <w:r w:rsidR="00FB61AD">
              <w:rPr>
                <w:sz w:val="20"/>
                <w:szCs w:val="20"/>
              </w:rPr>
              <w:t>deliver reductions / income</w:t>
            </w:r>
          </w:p>
        </w:tc>
        <w:tc>
          <w:tcPr>
            <w:tcW w:w="5812" w:type="dxa"/>
            <w:gridSpan w:val="3"/>
          </w:tcPr>
          <w:p w:rsidR="001B6643" w:rsidRPr="00770268" w:rsidRDefault="00EC24F6" w:rsidP="00770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440FB" w:rsidRPr="00770268">
              <w:rPr>
                <w:sz w:val="20"/>
                <w:szCs w:val="20"/>
              </w:rPr>
              <w:t>Service Level Agreements for services provided by LCC to LCDL and the LEP</w:t>
            </w:r>
            <w:r w:rsidR="00CB37C0" w:rsidRPr="00770268">
              <w:rPr>
                <w:sz w:val="20"/>
                <w:szCs w:val="20"/>
              </w:rPr>
              <w:t xml:space="preserve"> to be negotiated and agreed</w:t>
            </w:r>
          </w:p>
        </w:tc>
      </w:tr>
      <w:tr w:rsidR="00E32D62" w:rsidRPr="002B630A" w:rsidTr="009E0E1B">
        <w:tc>
          <w:tcPr>
            <w:tcW w:w="3397" w:type="dxa"/>
          </w:tcPr>
          <w:p w:rsidR="00E32D62" w:rsidRPr="002B630A" w:rsidRDefault="00E32D62" w:rsidP="00FB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812" w:type="dxa"/>
            <w:gridSpan w:val="3"/>
          </w:tcPr>
          <w:p w:rsidR="00E32D62" w:rsidRPr="006263B1" w:rsidRDefault="00263D66" w:rsidP="006263B1">
            <w:pPr>
              <w:rPr>
                <w:sz w:val="20"/>
                <w:szCs w:val="20"/>
              </w:rPr>
            </w:pPr>
            <w:hyperlink r:id="rId6" w:history="1">
              <w:r w:rsidR="005816E9">
                <w:rPr>
                  <w:rStyle w:val="Hyperlink"/>
                  <w:sz w:val="20"/>
                  <w:szCs w:val="20"/>
                </w:rPr>
                <w:t>Click here to view document</w:t>
              </w:r>
            </w:hyperlink>
          </w:p>
        </w:tc>
      </w:tr>
    </w:tbl>
    <w:p w:rsidR="009C4647" w:rsidRDefault="009C4647" w:rsidP="009E0E1B">
      <w:bookmarkStart w:id="0" w:name="_GoBack"/>
      <w:bookmarkEnd w:id="0"/>
    </w:p>
    <w:p w:rsidR="00C86A9D" w:rsidRPr="00C86A9D" w:rsidRDefault="00C86A9D" w:rsidP="009E0E1B">
      <w:pPr>
        <w:rPr>
          <w:b/>
          <w:sz w:val="20"/>
          <w:szCs w:val="20"/>
        </w:rPr>
      </w:pPr>
      <w:r w:rsidRPr="00C86A9D">
        <w:rPr>
          <w:b/>
          <w:sz w:val="20"/>
          <w:szCs w:val="20"/>
        </w:rPr>
        <w:t>Service Description</w:t>
      </w:r>
    </w:p>
    <w:p w:rsidR="005264AE" w:rsidRPr="008B688C" w:rsidRDefault="0011673B" w:rsidP="009E0E1B">
      <w:pPr>
        <w:rPr>
          <w:sz w:val="20"/>
          <w:szCs w:val="20"/>
        </w:rPr>
      </w:pPr>
      <w:r w:rsidRPr="008B688C">
        <w:rPr>
          <w:sz w:val="20"/>
          <w:szCs w:val="20"/>
        </w:rPr>
        <w:t>Economic Development brings together 3 strands of activity: Business Growth, Strategic Economic Development and LEP Coordination.</w:t>
      </w:r>
    </w:p>
    <w:p w:rsidR="00270394" w:rsidRDefault="0011673B" w:rsidP="0011673B">
      <w:pPr>
        <w:pStyle w:val="ListParagraph"/>
        <w:ind w:left="284"/>
        <w:rPr>
          <w:sz w:val="20"/>
          <w:szCs w:val="20"/>
        </w:rPr>
      </w:pPr>
      <w:r w:rsidRPr="008B688C">
        <w:rPr>
          <w:b/>
          <w:sz w:val="20"/>
          <w:szCs w:val="20"/>
        </w:rPr>
        <w:t>Business Growth:</w:t>
      </w:r>
      <w:r w:rsidRPr="008B688C">
        <w:rPr>
          <w:sz w:val="20"/>
          <w:szCs w:val="20"/>
        </w:rPr>
        <w:t xml:space="preserve"> </w:t>
      </w:r>
      <w:r w:rsidR="00E91970">
        <w:rPr>
          <w:sz w:val="20"/>
          <w:szCs w:val="20"/>
        </w:rPr>
        <w:t xml:space="preserve">  Business Growth is respo</w:t>
      </w:r>
      <w:r w:rsidR="00906FBF">
        <w:rPr>
          <w:sz w:val="20"/>
          <w:szCs w:val="20"/>
        </w:rPr>
        <w:t xml:space="preserve">nsible </w:t>
      </w:r>
      <w:r w:rsidR="00270394">
        <w:rPr>
          <w:sz w:val="20"/>
          <w:szCs w:val="20"/>
        </w:rPr>
        <w:t>for:</w:t>
      </w:r>
    </w:p>
    <w:p w:rsidR="00270394" w:rsidRDefault="0011673B" w:rsidP="0027039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B688C">
        <w:rPr>
          <w:sz w:val="20"/>
          <w:szCs w:val="20"/>
        </w:rPr>
        <w:t>the co-ordination and commissioning of Boost – Lancashire's Business Growth Hub; Enabling businesses to access finance to support growth ambitions;</w:t>
      </w:r>
    </w:p>
    <w:p w:rsidR="00270394" w:rsidRDefault="0011673B" w:rsidP="0027039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B688C">
        <w:rPr>
          <w:sz w:val="20"/>
          <w:szCs w:val="20"/>
        </w:rPr>
        <w:t xml:space="preserve"> Relationship management with strategically important Lancashire businesses as well as providing support for foreign owned companies considering relocation to/growth within the county;</w:t>
      </w:r>
    </w:p>
    <w:p w:rsidR="00270394" w:rsidRDefault="0011673B" w:rsidP="0027039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B688C">
        <w:rPr>
          <w:sz w:val="20"/>
          <w:szCs w:val="20"/>
        </w:rPr>
        <w:lastRenderedPageBreak/>
        <w:t xml:space="preserve"> Providing growth support (finance, skills support, advice) for businesses within Lancashire's key sectors working with sector lead organisations like the NW Aerospace Alliance, NW Automotive Alliance and Creative Lancashire;</w:t>
      </w:r>
    </w:p>
    <w:p w:rsidR="0011673B" w:rsidRPr="008B688C" w:rsidRDefault="0011673B" w:rsidP="0027039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B688C">
        <w:rPr>
          <w:sz w:val="20"/>
          <w:szCs w:val="20"/>
        </w:rPr>
        <w:t xml:space="preserve"> Working with Lancashire skills providers to ensure provision is aligned to business demands and growth ambitions</w:t>
      </w:r>
      <w:r w:rsidR="0074333F">
        <w:rPr>
          <w:sz w:val="20"/>
          <w:szCs w:val="20"/>
        </w:rPr>
        <w:t>.</w:t>
      </w:r>
    </w:p>
    <w:p w:rsidR="00270394" w:rsidRDefault="0011673B" w:rsidP="008B688C">
      <w:pPr>
        <w:pStyle w:val="ListParagraph"/>
        <w:ind w:left="284"/>
        <w:rPr>
          <w:sz w:val="20"/>
          <w:szCs w:val="20"/>
        </w:rPr>
      </w:pPr>
      <w:r w:rsidRPr="008B688C">
        <w:rPr>
          <w:b/>
          <w:sz w:val="20"/>
          <w:szCs w:val="20"/>
        </w:rPr>
        <w:t>Strategic Economic Development:</w:t>
      </w:r>
      <w:r w:rsidRPr="008B688C">
        <w:rPr>
          <w:sz w:val="20"/>
          <w:szCs w:val="20"/>
        </w:rPr>
        <w:t xml:space="preserve">  Strategic Economic </w:t>
      </w:r>
      <w:r w:rsidR="00270394" w:rsidRPr="008B688C">
        <w:rPr>
          <w:sz w:val="20"/>
          <w:szCs w:val="20"/>
        </w:rPr>
        <w:t>Development</w:t>
      </w:r>
      <w:r w:rsidR="00770268">
        <w:rPr>
          <w:sz w:val="20"/>
          <w:szCs w:val="20"/>
        </w:rPr>
        <w:t xml:space="preserve"> is responsible for:</w:t>
      </w:r>
    </w:p>
    <w:p w:rsidR="00270394" w:rsidRDefault="00770268" w:rsidP="00270394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Bringing </w:t>
      </w:r>
      <w:r w:rsidRPr="008B688C">
        <w:rPr>
          <w:sz w:val="20"/>
          <w:szCs w:val="20"/>
        </w:rPr>
        <w:t>together</w:t>
      </w:r>
      <w:r w:rsidR="0011673B" w:rsidRPr="008B688C">
        <w:rPr>
          <w:sz w:val="20"/>
          <w:szCs w:val="20"/>
        </w:rPr>
        <w:t xml:space="preserve"> private and public sector partners to </w:t>
      </w:r>
      <w:r w:rsidR="00270394">
        <w:rPr>
          <w:sz w:val="20"/>
          <w:szCs w:val="20"/>
        </w:rPr>
        <w:t xml:space="preserve">take </w:t>
      </w:r>
      <w:r w:rsidR="00270394" w:rsidRPr="008B688C">
        <w:rPr>
          <w:sz w:val="20"/>
          <w:szCs w:val="20"/>
        </w:rPr>
        <w:t>forward</w:t>
      </w:r>
      <w:r w:rsidR="0011673B" w:rsidRPr="008B688C">
        <w:rPr>
          <w:sz w:val="20"/>
          <w:szCs w:val="20"/>
        </w:rPr>
        <w:t xml:space="preserve"> physical investment and development activity.</w:t>
      </w:r>
    </w:p>
    <w:p w:rsidR="00270394" w:rsidRDefault="0011673B" w:rsidP="00270394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8B688C">
        <w:rPr>
          <w:sz w:val="20"/>
          <w:szCs w:val="20"/>
        </w:rPr>
        <w:t xml:space="preserve">  The service focuses on a range of projects to stimulate and promote economic growth in Lancashire, delivering the priorities of L</w:t>
      </w:r>
      <w:r w:rsidR="00E91970">
        <w:rPr>
          <w:sz w:val="20"/>
          <w:szCs w:val="20"/>
        </w:rPr>
        <w:t xml:space="preserve">ancashire County Developments </w:t>
      </w:r>
      <w:r w:rsidR="00270394">
        <w:rPr>
          <w:sz w:val="20"/>
          <w:szCs w:val="20"/>
        </w:rPr>
        <w:t xml:space="preserve">Limited </w:t>
      </w:r>
      <w:r w:rsidR="00270394" w:rsidRPr="008B688C">
        <w:rPr>
          <w:sz w:val="20"/>
          <w:szCs w:val="20"/>
        </w:rPr>
        <w:t>and</w:t>
      </w:r>
      <w:r w:rsidRPr="008B688C">
        <w:rPr>
          <w:sz w:val="20"/>
          <w:szCs w:val="20"/>
        </w:rPr>
        <w:t xml:space="preserve"> the Lancashire Enterprise Partnership (LEP), including the Lancashire Growth Deal, Preston, South Ribble and Lancashire City Deal, Lancashire's Enterprise Zones and Growing Places Investment Fund</w:t>
      </w:r>
      <w:r w:rsidR="00270394">
        <w:rPr>
          <w:sz w:val="20"/>
          <w:szCs w:val="20"/>
        </w:rPr>
        <w:t>.</w:t>
      </w:r>
    </w:p>
    <w:p w:rsidR="00270394" w:rsidRDefault="0011673B" w:rsidP="00270394">
      <w:pPr>
        <w:pStyle w:val="ListParagraph"/>
        <w:ind w:left="284"/>
        <w:rPr>
          <w:rFonts w:cs="Arial"/>
          <w:sz w:val="20"/>
          <w:szCs w:val="20"/>
        </w:rPr>
      </w:pPr>
      <w:r w:rsidRPr="008B688C">
        <w:rPr>
          <w:b/>
          <w:sz w:val="20"/>
          <w:szCs w:val="20"/>
        </w:rPr>
        <w:t xml:space="preserve">LEP Coordination: </w:t>
      </w:r>
      <w:r w:rsidR="002C7C2F">
        <w:rPr>
          <w:rFonts w:cs="Arial"/>
          <w:sz w:val="20"/>
          <w:szCs w:val="20"/>
        </w:rPr>
        <w:t xml:space="preserve"> </w:t>
      </w:r>
      <w:r w:rsidR="00270394">
        <w:rPr>
          <w:rFonts w:cs="Arial"/>
          <w:sz w:val="20"/>
          <w:szCs w:val="20"/>
        </w:rPr>
        <w:t>LEP Co-ordination</w:t>
      </w:r>
      <w:r w:rsidR="00770268">
        <w:rPr>
          <w:rFonts w:cs="Arial"/>
          <w:sz w:val="20"/>
          <w:szCs w:val="20"/>
        </w:rPr>
        <w:t xml:space="preserve"> is responsible for</w:t>
      </w:r>
      <w:r w:rsidR="00270394">
        <w:rPr>
          <w:rFonts w:cs="Arial"/>
          <w:sz w:val="20"/>
          <w:szCs w:val="20"/>
        </w:rPr>
        <w:t>:</w:t>
      </w:r>
    </w:p>
    <w:p w:rsidR="00270394" w:rsidRDefault="00270394" w:rsidP="00270394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Pr="00270394">
        <w:rPr>
          <w:sz w:val="20"/>
          <w:szCs w:val="20"/>
        </w:rPr>
        <w:t>he</w:t>
      </w:r>
      <w:r w:rsidR="008B688C" w:rsidRPr="00270394">
        <w:rPr>
          <w:sz w:val="20"/>
          <w:szCs w:val="20"/>
        </w:rPr>
        <w:t xml:space="preserve"> provision of support to the Chair and Board of Directors of the Lan</w:t>
      </w:r>
      <w:r>
        <w:rPr>
          <w:sz w:val="20"/>
          <w:szCs w:val="20"/>
        </w:rPr>
        <w:t xml:space="preserve">cashire Enterprise </w:t>
      </w:r>
      <w:r w:rsidR="00770268">
        <w:rPr>
          <w:sz w:val="20"/>
          <w:szCs w:val="20"/>
        </w:rPr>
        <w:t xml:space="preserve">Partnership; </w:t>
      </w:r>
    </w:p>
    <w:p w:rsidR="00270394" w:rsidRDefault="00270394" w:rsidP="00270394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770268">
        <w:rPr>
          <w:sz w:val="20"/>
          <w:szCs w:val="20"/>
        </w:rPr>
        <w:t xml:space="preserve">upporting </w:t>
      </w:r>
      <w:r w:rsidR="008B688C" w:rsidRPr="00270394">
        <w:rPr>
          <w:sz w:val="20"/>
          <w:szCs w:val="20"/>
        </w:rPr>
        <w:t xml:space="preserve"> the Director of Economic Development in leading, shaping and implementing the agreed economic priorities of the County Council and the LEP and the devel</w:t>
      </w:r>
      <w:r>
        <w:rPr>
          <w:sz w:val="20"/>
          <w:szCs w:val="20"/>
        </w:rPr>
        <w:t>opment of supporting strategies;</w:t>
      </w:r>
      <w:r w:rsidRPr="00270394">
        <w:rPr>
          <w:sz w:val="20"/>
          <w:szCs w:val="20"/>
        </w:rPr>
        <w:t xml:space="preserve"> </w:t>
      </w:r>
    </w:p>
    <w:p w:rsidR="00270394" w:rsidRDefault="00770268" w:rsidP="00270394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Leading   and developing </w:t>
      </w:r>
      <w:r w:rsidR="00270394">
        <w:rPr>
          <w:sz w:val="20"/>
          <w:szCs w:val="20"/>
        </w:rPr>
        <w:t xml:space="preserve"> </w:t>
      </w:r>
      <w:r w:rsidR="008B688C" w:rsidRPr="00270394">
        <w:rPr>
          <w:sz w:val="20"/>
          <w:szCs w:val="20"/>
        </w:rPr>
        <w:t xml:space="preserve"> new LEP policy initiatives, sector developments, place marketing approaches, pipeline commercial development opportunities and public/private investment programmes. </w:t>
      </w:r>
    </w:p>
    <w:p w:rsidR="008B688C" w:rsidRPr="00270394" w:rsidRDefault="008B688C" w:rsidP="00270394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270394">
        <w:rPr>
          <w:sz w:val="20"/>
          <w:szCs w:val="20"/>
        </w:rPr>
        <w:t>Establishing, maintaining and developing national relationships with Government departments, Government agencies, key public and business stakeholders, and other LEPs.</w:t>
      </w:r>
    </w:p>
    <w:p w:rsidR="0011673B" w:rsidRPr="008B688C" w:rsidRDefault="0011673B" w:rsidP="0011673B">
      <w:pPr>
        <w:pStyle w:val="ListParagraph"/>
        <w:ind w:left="284"/>
        <w:rPr>
          <w:b/>
          <w:sz w:val="20"/>
          <w:szCs w:val="20"/>
        </w:rPr>
      </w:pPr>
    </w:p>
    <w:p w:rsidR="0011673B" w:rsidRPr="008B688C" w:rsidRDefault="0011673B" w:rsidP="0011673B">
      <w:pPr>
        <w:pStyle w:val="ListParagraph"/>
        <w:ind w:left="284"/>
        <w:rPr>
          <w:sz w:val="20"/>
          <w:szCs w:val="20"/>
        </w:rPr>
      </w:pPr>
    </w:p>
    <w:p w:rsidR="005264AE" w:rsidRPr="008B688C" w:rsidRDefault="005264AE" w:rsidP="009E0E1B">
      <w:pPr>
        <w:rPr>
          <w:sz w:val="20"/>
          <w:szCs w:val="20"/>
        </w:rPr>
      </w:pPr>
    </w:p>
    <w:p w:rsidR="005264AE" w:rsidRPr="008B688C" w:rsidRDefault="005264AE" w:rsidP="009E0E1B">
      <w:pPr>
        <w:rPr>
          <w:sz w:val="20"/>
          <w:szCs w:val="20"/>
        </w:rPr>
      </w:pPr>
    </w:p>
    <w:p w:rsidR="00AA03E9" w:rsidRPr="008B688C" w:rsidRDefault="00AA03E9" w:rsidP="009E0E1B">
      <w:pPr>
        <w:rPr>
          <w:sz w:val="20"/>
          <w:szCs w:val="20"/>
        </w:rPr>
      </w:pPr>
    </w:p>
    <w:sectPr w:rsidR="00AA03E9" w:rsidRPr="008B688C" w:rsidSect="00CA2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02E4"/>
    <w:multiLevelType w:val="hybridMultilevel"/>
    <w:tmpl w:val="2D20A1BC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60235E7"/>
    <w:multiLevelType w:val="hybridMultilevel"/>
    <w:tmpl w:val="5A46C3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010F40"/>
    <w:multiLevelType w:val="hybridMultilevel"/>
    <w:tmpl w:val="9BD25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584670"/>
    <w:multiLevelType w:val="hybridMultilevel"/>
    <w:tmpl w:val="051EC124"/>
    <w:lvl w:ilvl="0" w:tplc="10B419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A55198"/>
    <w:multiLevelType w:val="hybridMultilevel"/>
    <w:tmpl w:val="1B3E7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10F3C"/>
    <w:multiLevelType w:val="hybridMultilevel"/>
    <w:tmpl w:val="4F4811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B16B43"/>
    <w:multiLevelType w:val="hybridMultilevel"/>
    <w:tmpl w:val="1A8CDC6E"/>
    <w:lvl w:ilvl="0" w:tplc="08090001">
      <w:start w:val="1"/>
      <w:numFmt w:val="bullet"/>
      <w:lvlText w:val=""/>
      <w:lvlJc w:val="left"/>
      <w:pPr>
        <w:ind w:left="6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8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907594"/>
    <w:multiLevelType w:val="hybridMultilevel"/>
    <w:tmpl w:val="F6C81C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67"/>
    <w:rsid w:val="00084304"/>
    <w:rsid w:val="0009409D"/>
    <w:rsid w:val="000D48EA"/>
    <w:rsid w:val="000E21C6"/>
    <w:rsid w:val="0011673B"/>
    <w:rsid w:val="001440FB"/>
    <w:rsid w:val="00144CA6"/>
    <w:rsid w:val="001774BD"/>
    <w:rsid w:val="001A3607"/>
    <w:rsid w:val="001B6643"/>
    <w:rsid w:val="001C156F"/>
    <w:rsid w:val="001E172B"/>
    <w:rsid w:val="00241D35"/>
    <w:rsid w:val="00263D66"/>
    <w:rsid w:val="00270394"/>
    <w:rsid w:val="00280EFB"/>
    <w:rsid w:val="002A3E9F"/>
    <w:rsid w:val="002B630A"/>
    <w:rsid w:val="002C7C2F"/>
    <w:rsid w:val="00384C2D"/>
    <w:rsid w:val="003869AC"/>
    <w:rsid w:val="003926E6"/>
    <w:rsid w:val="00411DA3"/>
    <w:rsid w:val="00443967"/>
    <w:rsid w:val="00452C66"/>
    <w:rsid w:val="00464F42"/>
    <w:rsid w:val="00487F0F"/>
    <w:rsid w:val="004A2B4F"/>
    <w:rsid w:val="004D588F"/>
    <w:rsid w:val="004E121B"/>
    <w:rsid w:val="0052048F"/>
    <w:rsid w:val="005264AE"/>
    <w:rsid w:val="005816E9"/>
    <w:rsid w:val="005957E5"/>
    <w:rsid w:val="005B386D"/>
    <w:rsid w:val="005C3A55"/>
    <w:rsid w:val="00604C13"/>
    <w:rsid w:val="006263B1"/>
    <w:rsid w:val="0064633C"/>
    <w:rsid w:val="0065624A"/>
    <w:rsid w:val="0066742C"/>
    <w:rsid w:val="00692710"/>
    <w:rsid w:val="0069592C"/>
    <w:rsid w:val="006B2CE0"/>
    <w:rsid w:val="006D3742"/>
    <w:rsid w:val="006F35E8"/>
    <w:rsid w:val="006F58CE"/>
    <w:rsid w:val="0070212C"/>
    <w:rsid w:val="00711875"/>
    <w:rsid w:val="00716A4F"/>
    <w:rsid w:val="00730D0B"/>
    <w:rsid w:val="0074333F"/>
    <w:rsid w:val="007467AF"/>
    <w:rsid w:val="00770268"/>
    <w:rsid w:val="007B7BD6"/>
    <w:rsid w:val="007D00B0"/>
    <w:rsid w:val="007D2F78"/>
    <w:rsid w:val="007D6CED"/>
    <w:rsid w:val="008039DA"/>
    <w:rsid w:val="008100D6"/>
    <w:rsid w:val="008252EB"/>
    <w:rsid w:val="00846A4F"/>
    <w:rsid w:val="00873471"/>
    <w:rsid w:val="008B0F6D"/>
    <w:rsid w:val="008B688C"/>
    <w:rsid w:val="008D74C5"/>
    <w:rsid w:val="008E30D2"/>
    <w:rsid w:val="00906FBF"/>
    <w:rsid w:val="00914D65"/>
    <w:rsid w:val="009304C0"/>
    <w:rsid w:val="009352A4"/>
    <w:rsid w:val="009C1E54"/>
    <w:rsid w:val="009C4647"/>
    <w:rsid w:val="009E0E1B"/>
    <w:rsid w:val="009E1942"/>
    <w:rsid w:val="009E2D95"/>
    <w:rsid w:val="00A33171"/>
    <w:rsid w:val="00A61F59"/>
    <w:rsid w:val="00A7091D"/>
    <w:rsid w:val="00A91829"/>
    <w:rsid w:val="00AA03E9"/>
    <w:rsid w:val="00AE14AD"/>
    <w:rsid w:val="00AE7339"/>
    <w:rsid w:val="00AF0710"/>
    <w:rsid w:val="00B120EB"/>
    <w:rsid w:val="00B25405"/>
    <w:rsid w:val="00B26FCE"/>
    <w:rsid w:val="00B325D0"/>
    <w:rsid w:val="00B819B1"/>
    <w:rsid w:val="00BC07FA"/>
    <w:rsid w:val="00BE1BC0"/>
    <w:rsid w:val="00BE44C4"/>
    <w:rsid w:val="00C110BC"/>
    <w:rsid w:val="00C116C8"/>
    <w:rsid w:val="00C3384B"/>
    <w:rsid w:val="00C50F5C"/>
    <w:rsid w:val="00C76C67"/>
    <w:rsid w:val="00C844FA"/>
    <w:rsid w:val="00C86A9D"/>
    <w:rsid w:val="00CA10C4"/>
    <w:rsid w:val="00CA2B52"/>
    <w:rsid w:val="00CB37C0"/>
    <w:rsid w:val="00CB7956"/>
    <w:rsid w:val="00D64925"/>
    <w:rsid w:val="00D833E6"/>
    <w:rsid w:val="00D91624"/>
    <w:rsid w:val="00E11356"/>
    <w:rsid w:val="00E17B81"/>
    <w:rsid w:val="00E32D62"/>
    <w:rsid w:val="00E56AA9"/>
    <w:rsid w:val="00E91970"/>
    <w:rsid w:val="00EA1D7C"/>
    <w:rsid w:val="00EB24EB"/>
    <w:rsid w:val="00EC24F6"/>
    <w:rsid w:val="00EE1301"/>
    <w:rsid w:val="00F15B60"/>
    <w:rsid w:val="00F26FCF"/>
    <w:rsid w:val="00F679F6"/>
    <w:rsid w:val="00F67BFD"/>
    <w:rsid w:val="00F9314E"/>
    <w:rsid w:val="00FA6D71"/>
    <w:rsid w:val="00FA744B"/>
    <w:rsid w:val="00FB61AD"/>
    <w:rsid w:val="00FB75C9"/>
    <w:rsid w:val="00FC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9493E-A4F2-4373-AD2D-25432AB8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E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AA03E9"/>
  </w:style>
  <w:style w:type="character" w:styleId="Hyperlink">
    <w:name w:val="Hyperlink"/>
    <w:basedOn w:val="DefaultParagraphFont"/>
    <w:uiPriority w:val="99"/>
    <w:semiHidden/>
    <w:unhideWhenUsed/>
    <w:rsid w:val="005816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uncil.lancashire.gov.uk/ecCatDisplay.aspx?sch=doc&amp;cat=13868&amp;path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F2E37-761D-4256-B078-6D9F931E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Steve (via secretary)</dc:creator>
  <cp:keywords/>
  <dc:description/>
  <cp:lastModifiedBy>Mather, Chris</cp:lastModifiedBy>
  <cp:revision>7</cp:revision>
  <cp:lastPrinted>2015-11-12T13:29:00Z</cp:lastPrinted>
  <dcterms:created xsi:type="dcterms:W3CDTF">2015-11-13T07:44:00Z</dcterms:created>
  <dcterms:modified xsi:type="dcterms:W3CDTF">2015-11-16T12:27:00Z</dcterms:modified>
</cp:coreProperties>
</file>